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/>
      </w:pPr>
      <w:r>
        <w:rPr>
          <w:rFonts w:cs="Calibri"/>
        </w:rPr>
        <w:t xml:space="preserve">Документ предоставлен </w:t>
      </w:r>
      <w:hyperlink r:id="rId2">
        <w:r>
          <w:rPr>
            <w:rStyle w:val="Style14"/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cs="Calibri"/>
          <w:b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ДЕПАРТАМЕНТ ТАРИФНОЙ И ЦЕНОВОЙ ПОЛИТИКИ ТЮМЕНСКОЙ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20 августа 2012 г. N 183/01-05-ос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НОРМАТИВОВ ПОТРЕБЛЕНИЯ КОММУНАЛЬНЫХ УСЛУГ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ПО ЭЛЕКТРОСНАБЖЕНИЮ В ТЮМЕНСКОЙ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(в ред. приказов Департамента тарифной и ценовой политики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/>
        </w:rPr>
        <w:t xml:space="preserve">Тюменской области от 08.11.2012 </w:t>
      </w:r>
      <w:hyperlink r:id="rId3">
        <w:r>
          <w:rPr>
            <w:rStyle w:val="Style14"/>
            <w:rFonts w:cs="Calibri"/>
            <w:color w:val="0000FF"/>
          </w:rPr>
          <w:t>N 234/01-05-ос</w:t>
        </w:r>
      </w:hyperlink>
      <w:r>
        <w:rPr>
          <w:rFonts w:cs="Calibri"/>
        </w:rPr>
        <w:t>,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/>
        </w:rPr>
        <w:t xml:space="preserve">от 01.07.2013 </w:t>
      </w:r>
      <w:hyperlink r:id="rId4">
        <w:r>
          <w:rPr>
            <w:rStyle w:val="Style14"/>
            <w:rFonts w:cs="Calibri"/>
            <w:color w:val="0000FF"/>
          </w:rPr>
          <w:t>N 80/01-05-ос</w:t>
        </w:r>
      </w:hyperlink>
      <w:r>
        <w:rPr>
          <w:rFonts w:cs="Calibri"/>
        </w:rPr>
        <w:t>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5">
        <w:r>
          <w:rPr>
            <w:rStyle w:val="Style14"/>
            <w:rFonts w:cs="Calibri"/>
            <w:color w:val="0000FF"/>
          </w:rPr>
          <w:t>статьей 157</w:t>
        </w:r>
      </w:hyperlink>
      <w:r>
        <w:rPr>
          <w:rFonts w:cs="Calibri"/>
        </w:rPr>
        <w:t xml:space="preserve"> Жилищного кодекса Российской Федерации, Постановлениями Правительства Российской Федерации от 06.05.2011 </w:t>
      </w:r>
      <w:hyperlink r:id="rId6">
        <w:r>
          <w:rPr>
            <w:rStyle w:val="Style14"/>
            <w:rFonts w:cs="Calibri"/>
            <w:color w:val="0000FF"/>
          </w:rPr>
          <w:t>N 354</w:t>
        </w:r>
      </w:hyperlink>
      <w:r>
        <w:rPr>
          <w:rFonts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23.05.2006 </w:t>
      </w:r>
      <w:hyperlink r:id="rId7">
        <w:r>
          <w:rPr>
            <w:rStyle w:val="Style14"/>
            <w:rFonts w:cs="Calibri"/>
            <w:color w:val="0000FF"/>
          </w:rPr>
          <w:t>N 306</w:t>
        </w:r>
      </w:hyperlink>
      <w:r>
        <w:rPr>
          <w:rFonts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8">
        <w:r>
          <w:rPr>
            <w:rStyle w:val="Style14"/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от 20.08.2012 N 14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1. Утвердить </w:t>
      </w:r>
      <w:hyperlink w:anchor="Par33">
        <w:r>
          <w:rPr>
            <w:rStyle w:val="Style14"/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электроснабжению собственниками и пользователями жилых помещений в многоквартирных домах и жилых домов, определенные расчетным методом, согласно приложению 1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2. Утвердить </w:t>
      </w:r>
      <w:hyperlink w:anchor="Par84">
        <w:r>
          <w:rPr>
            <w:rStyle w:val="Style14"/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электроснабжению на общедомовые нужды собственниками и пользователями помещений в многоквартирных домах, определенные расчетным методом, согласно приложению 2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3. Утвердить </w:t>
      </w:r>
      <w:hyperlink w:anchor="Par117">
        <w:r>
          <w:rPr>
            <w:rStyle w:val="Style14"/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коммунальной услуги по электроснабжению для освещения в целях содержания сельскохозяйственных животных, определенные расчетным методом, согласно приложению 3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 Утвердить </w:t>
      </w:r>
      <w:hyperlink w:anchor="Par140">
        <w:r>
          <w:rPr>
            <w:rStyle w:val="Style14"/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коммунальной услуги по электроснабжению для приготовления пищи и подогрева воды для сельскохозяйственных животных, определенные расчетным методом, согласно приложению 4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5. </w:t>
      </w:r>
      <w:hyperlink w:anchor="Par33">
        <w:r>
          <w:rPr>
            <w:rStyle w:val="Style14"/>
            <w:rFonts w:cs="Calibri"/>
            <w:color w:val="0000FF"/>
          </w:rPr>
          <w:t>Нормативы</w:t>
        </w:r>
      </w:hyperlink>
      <w:r>
        <w:rPr>
          <w:rFonts w:cs="Calibri"/>
        </w:rPr>
        <w:t>, утвержденные настоящим приказом, вводятся в действие с 1 сентября 2012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Заместитель директора департамента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Е.А.КАРТАШКОВ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cs="Calibri"/>
        </w:rPr>
        <w:t>Приложение N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департамента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тарифной и ценовой политики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Тюменской области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20.08.2012 N 183/01-05-ос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2" w:name="Par33"/>
      <w:bookmarkEnd w:id="2"/>
      <w:r>
        <w:rPr>
          <w:rFonts w:cs="Calibri"/>
          <w:b/>
          <w:bCs/>
        </w:rPr>
        <w:t>НОРМАТИВЫ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ПОТРЕБЛЕНИЯ КОММУНАЛЬНЫХ УСЛУГ ПО ЭЛЕКТРОСНАБЖЕНИЮ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СОБСТВЕННИКАМИ И ПОЛЬЗОВАТЕЛЯМИ ЖИЛЫХ ПОМЕЩЕНИЙ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 МНОГОКВАРТИРНЫХ ДОМАХ И ЖИЛЫХ ДОМОВ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/>
        </w:rPr>
        <w:t xml:space="preserve">(в ред. </w:t>
      </w:r>
      <w:hyperlink r:id="rId9">
        <w:r>
          <w:rPr>
            <w:rStyle w:val="Style14"/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тарифной и ценовой политики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Тюменской области от 01.07.2013 N 80/01-05-ос)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600" w:type="dxa"/>
        <w:jc w:val="left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39"/>
      </w:tblGrid>
      <w:tr>
        <w:trPr>
          <w:trHeight w:val="800" w:hRule="atLeast"/>
        </w:trPr>
        <w:tc>
          <w:tcPr>
            <w:tcW w:w="25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Количество комнат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в квартире (жилом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доме)       </w:t>
            </w:r>
          </w:p>
        </w:tc>
        <w:tc>
          <w:tcPr>
            <w:tcW w:w="707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Нормативы потребления, кВт ч в месяц на 1 человека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 количестве проживающих человек в квартире (жилом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доме):                        </w:t>
            </w:r>
          </w:p>
        </w:tc>
      </w:tr>
      <w:tr>
        <w:trPr>
          <w:trHeight w:val="400" w:hRule="atLeast"/>
        </w:trPr>
        <w:tc>
          <w:tcPr>
            <w:tcW w:w="2520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1 человек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2 человека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3 человека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4 человека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человек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и более  </w:t>
            </w:r>
          </w:p>
        </w:tc>
      </w:tr>
      <w:tr>
        <w:trPr/>
        <w:tc>
          <w:tcPr>
            <w:tcW w:w="9599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9"/>
            <w:bookmarkEnd w:id="3"/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I. При наличии электрической плиты                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 комната    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140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87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67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55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48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2 комнаты    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165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102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79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64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56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3 комнаты    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180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112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87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70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61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 комнаты и более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192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119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92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75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65    </w:t>
            </w:r>
          </w:p>
        </w:tc>
      </w:tr>
      <w:tr>
        <w:trPr/>
        <w:tc>
          <w:tcPr>
            <w:tcW w:w="9599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9"/>
            <w:bookmarkEnd w:id="4"/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II. При наличии газовой плиты                  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 комната    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90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56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43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35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31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2 комнаты    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116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72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56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45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39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3 комнаты    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131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81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63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51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45    </w:t>
            </w:r>
          </w:p>
        </w:tc>
      </w:tr>
      <w:tr>
        <w:trPr/>
        <w:tc>
          <w:tcPr>
            <w:tcW w:w="25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 комнаты и более 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142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88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68    </w:t>
            </w:r>
          </w:p>
        </w:tc>
        <w:tc>
          <w:tcPr>
            <w:tcW w:w="14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55   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48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Calibri"/>
        </w:rPr>
        <w:t xml:space="preserve">(в ред. </w:t>
      </w:r>
      <w:hyperlink r:id="rId10">
        <w:r>
          <w:rPr>
            <w:rStyle w:val="Style14"/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тарифной и ценовой политики Тюменской области от 01.07.2013 N 80/01-05-ос)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5" w:name="Par78"/>
      <w:bookmarkEnd w:id="5"/>
      <w:r>
        <w:rPr>
          <w:rFonts w:cs="Calibri"/>
        </w:rPr>
        <w:t>Приложение N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департамента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тарифной и ценовой политики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Тюменской области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20.08.2012 N 183/01-05-ос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6" w:name="Par84"/>
      <w:bookmarkEnd w:id="6"/>
      <w:r>
        <w:rPr>
          <w:rFonts w:cs="Calibri"/>
          <w:b/>
          <w:bCs/>
        </w:rPr>
        <w:t>НОРМАТИВЫ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ПОТРЕБЛЕНИЯ КОММУНАЛЬНЫХ УСЛУГ ПО ЭЛЕКТРОСНАБЖЕНИЮ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НА ОБЩЕДОМОВЫЕ НУЖДЫ СОБСТВЕННИКАМИ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И ПОЛЬЗОВАТЕЛЯМИ ПОМЕЩЕНИЙ В МНОГОКВАРТИРНЫХ ДОМАХ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/>
        </w:rPr>
        <w:t xml:space="preserve">(в ред. </w:t>
      </w:r>
      <w:hyperlink r:id="rId11">
        <w:r>
          <w:rPr>
            <w:rStyle w:val="Style14"/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тарифной и ценовой политики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Тюменской области от 08.11.2012 N 234/01-05-ос)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120" w:type="dxa"/>
        <w:jc w:val="left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3359"/>
        <w:gridCol w:w="5760"/>
      </w:tblGrid>
      <w:tr>
        <w:trPr>
          <w:trHeight w:val="400" w:hRule="atLeast"/>
        </w:trPr>
        <w:tc>
          <w:tcPr>
            <w:tcW w:w="3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Характеристика жилищного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фонда           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Нормативы потребления, кВтч в месяц на 1 кв. 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уборочных площадей в многоквартирном доме   </w:t>
            </w:r>
          </w:p>
        </w:tc>
      </w:tr>
      <w:tr>
        <w:trPr>
          <w:trHeight w:val="400" w:hRule="atLeast"/>
        </w:trPr>
        <w:tc>
          <w:tcPr>
            <w:tcW w:w="33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Многоквартирные дома,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оборудованные лифтами   </w:t>
            </w:r>
          </w:p>
        </w:tc>
        <w:tc>
          <w:tcPr>
            <w:tcW w:w="5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         </w:t>
            </w:r>
          </w:p>
        </w:tc>
      </w:tr>
      <w:tr>
        <w:trPr>
          <w:trHeight w:val="400" w:hRule="atLeast"/>
        </w:trPr>
        <w:tc>
          <w:tcPr>
            <w:tcW w:w="33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Многоквартирные дома, не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оборудованные лифтами   </w:t>
            </w:r>
          </w:p>
        </w:tc>
        <w:tc>
          <w:tcPr>
            <w:tcW w:w="5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При определении нормативов потребления коммунальных услуг по электроснабжению на общедомовые нужды собственниками и пользователями помещений в многоквартирных домах учтены уборочные площади помещений, не являющихся частями жилых (нежилых) помещений в многоквартирных домах и предназначенных для обслуживания более одного помещения в многоквартирном доме, за исключением площадей технических этажей, чердаков, подвалов, лифтовых и иных шахт, земельных участков, на которых расположены многоквартирные дома, с элементами озеленения и благоустройства.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7" w:name="Par111"/>
      <w:bookmarkEnd w:id="7"/>
      <w:r>
        <w:rPr>
          <w:rFonts w:cs="Calibri"/>
        </w:rPr>
        <w:t>Приложение N 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департамента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тарифной и ценовой политики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Тюменской области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20.08.2012 N 183/01-05-ос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8" w:name="Par117"/>
      <w:bookmarkEnd w:id="8"/>
      <w:r>
        <w:rPr>
          <w:rFonts w:cs="Calibri"/>
          <w:b/>
          <w:bCs/>
        </w:rPr>
        <w:t>НОРМАТИВЫ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ПОТРЕБЛЕНИЯ КОММУНАЛЬНОЙ УСЛУГИ ПО ЭЛЕКТРОСНАБЖЕНИЮ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ДЛЯ ОСВЕЩЕНИЯ В ЦЕЛЯХ СОДЕРЖАНИЯ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СЕЛЬСКОХОЗЯЙСТВЕННЫХ ЖИВОТНЫХ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120" w:type="dxa"/>
        <w:jc w:val="left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7200"/>
        <w:gridCol w:w="1919"/>
      </w:tblGrid>
      <w:tr>
        <w:trPr>
          <w:trHeight w:val="600" w:hRule="atLeast"/>
        </w:trPr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Норматив, кВт.ч в месяц на 1 голову сельскохозяйственного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животного (крупный  рогатый скот, лошади, свиньи, козы,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овцы,  сельскохозяйственная птица)            </w:t>
            </w:r>
          </w:p>
        </w:tc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9" w:name="Par134"/>
      <w:bookmarkEnd w:id="9"/>
      <w:r>
        <w:rPr>
          <w:rFonts w:cs="Calibri"/>
        </w:rPr>
        <w:t>Приложение N 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департамента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тарифной и ценовой политики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Тюменской области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20.08.2012 N 183/01-05-ос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10" w:name="Par140"/>
      <w:bookmarkEnd w:id="10"/>
      <w:r>
        <w:rPr>
          <w:rFonts w:cs="Calibri"/>
          <w:b/>
          <w:bCs/>
        </w:rPr>
        <w:t>НОРМАТИВЫ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ПОТРЕБЛЕНИЯ КОММУНАЛЬНОЙ УСЛУГИ ПО ЭЛЕКТРОСНАБЖЕНИЮ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ДЛЯ ПРИГОТОВЛЕНИЯ ПИЩИ И ПОДОГРЕВА ВОДЫ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ДЛЯ СЕЛЬСКОХОЗЯЙСТВЕННЫХ ЖИВОТНЫХ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599"/>
        <w:gridCol w:w="4200"/>
        <w:gridCol w:w="4441"/>
      </w:tblGrid>
      <w:tr>
        <w:trPr>
          <w:trHeight w:val="400" w:hRule="atLeast"/>
        </w:trPr>
        <w:tc>
          <w:tcPr>
            <w:tcW w:w="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Сельскохозяйственные животные  </w:t>
            </w:r>
          </w:p>
        </w:tc>
        <w:tc>
          <w:tcPr>
            <w:tcW w:w="44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Норматив,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кВт.ч в месяц на 1 голову животного</w:t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крупный рогатый скот, лошади   </w:t>
            </w:r>
          </w:p>
        </w:tc>
        <w:tc>
          <w:tcPr>
            <w:tcW w:w="44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5,0                </w:t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2. </w:t>
            </w:r>
          </w:p>
        </w:tc>
        <w:tc>
          <w:tcPr>
            <w:tcW w:w="4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свиньи              </w:t>
            </w:r>
          </w:p>
        </w:tc>
        <w:tc>
          <w:tcPr>
            <w:tcW w:w="44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6,0                </w:t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3. </w:t>
            </w:r>
          </w:p>
        </w:tc>
        <w:tc>
          <w:tcPr>
            <w:tcW w:w="4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козы, овцы            </w:t>
            </w:r>
          </w:p>
        </w:tc>
        <w:tc>
          <w:tcPr>
            <w:tcW w:w="44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1,0                </w:t>
            </w:r>
          </w:p>
        </w:tc>
      </w:tr>
      <w:tr>
        <w:trPr/>
        <w:tc>
          <w:tcPr>
            <w:tcW w:w="5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4. </w:t>
            </w:r>
          </w:p>
        </w:tc>
        <w:tc>
          <w:tcPr>
            <w:tcW w:w="4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сельскохозяйственная птица    </w:t>
            </w:r>
          </w:p>
        </w:tc>
        <w:tc>
          <w:tcPr>
            <w:tcW w:w="44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    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8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69D89CC38C8FF8773AE8489D75EE836CBCF28E50D82F5121F4E879FEE29E8906DC2274047C62FBB785C4ADo5Z2J" TargetMode="External"/><Relationship Id="rId4" Type="http://schemas.openxmlformats.org/officeDocument/2006/relationships/hyperlink" Target="consultantplus://offline/ref=69D89CC38C8FF8773AE8489D75EE836CBCF28E50D9235127F0E879FEE29E8906DC2274047C62FBB785C4ADo5Z2J" TargetMode="External"/><Relationship Id="rId5" Type="http://schemas.openxmlformats.org/officeDocument/2006/relationships/hyperlink" Target="consultantplus://offline/ref=69D89CC38C8FF8773AE8489E6782DD63BBF1D25CD72E5E74AAB722A3B59783519B6D2D40o3Z1J" TargetMode="External"/><Relationship Id="rId6" Type="http://schemas.openxmlformats.org/officeDocument/2006/relationships/hyperlink" Target="consultantplus://offline/ref=69D89CC38C8FF8773AE8489E6782DD63BBFED55BDA225E74AAB722A3B59783519B6D2D46386FFAB5o8Z1J" TargetMode="External"/><Relationship Id="rId7" Type="http://schemas.openxmlformats.org/officeDocument/2006/relationships/hyperlink" Target="consultantplus://offline/ref=69D89CC38C8FF8773AE8489E6782DD63BBFED55BDA215E74AAB722A3B59783519B6D2D46o3ZCJ" TargetMode="External"/><Relationship Id="rId8" Type="http://schemas.openxmlformats.org/officeDocument/2006/relationships/hyperlink" Target="consultantplus://offline/ref=69D89CC38C8FF8773AE8489D75EE836CBCF28E50D7225724F1E879FEE29E8906DC2274047C62FBB785C6A8o5Z3J" TargetMode="External"/><Relationship Id="rId9" Type="http://schemas.openxmlformats.org/officeDocument/2006/relationships/hyperlink" Target="consultantplus://offline/ref=69D89CC38C8FF8773AE8489D75EE836CBCF28E50D9235127F0E879FEE29E8906DC2274047C62FBB785C4ADo5Z2J" TargetMode="External"/><Relationship Id="rId10" Type="http://schemas.openxmlformats.org/officeDocument/2006/relationships/hyperlink" Target="consultantplus://offline/ref=69D89CC38C8FF8773AE8489D75EE836CBCF28E50D9235127F0E879FEE29E8906DC2274047C62FBB785C4ADo5Z1J" TargetMode="External"/><Relationship Id="rId11" Type="http://schemas.openxmlformats.org/officeDocument/2006/relationships/hyperlink" Target="consultantplus://offline/ref=69D89CC38C8FF8773AE8489D75EE836CBCF28E50D82F5121F4E879FEE29E8906DC2274047C62FBB785C4ADo5Z1J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LibreOffice/4.4.2.2$Linux_X86_64 LibreOffice_project/40m0$Build-2</Application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2015-07-13T09:25:00Z</dcterms:created>
  <dc:creator>nastya</dc:creator>
  <dc:language>ru-RU</dc:language>
  <dcterms:modified xsi:type="dcterms:W3CDTF">2015-07-13T14:31:17Z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